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E0" w:rsidRDefault="00CA05E0" w:rsidP="00CA05E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A05E0" w:rsidRDefault="00CA05E0" w:rsidP="00CA05E0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401"/>
        <w:gridCol w:w="1524"/>
        <w:gridCol w:w="2835"/>
      </w:tblGrid>
      <w:tr w:rsidR="00DA6595" w:rsidTr="00B47602">
        <w:trPr>
          <w:trHeight w:val="521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 xml:space="preserve">№ </w:t>
            </w:r>
            <w:proofErr w:type="spellStart"/>
            <w:r w:rsidRPr="00365D85">
              <w:rPr>
                <w:bCs/>
                <w:color w:val="26282F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DA6595" w:rsidRPr="001F15A4" w:rsidRDefault="007B6C4C" w:rsidP="007E3C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val="en-US"/>
              </w:rPr>
            </w:pPr>
            <w:r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trHeight w:val="367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1F15A4" w:rsidRDefault="007B6C4C" w:rsidP="007E3C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val="en-US"/>
              </w:rPr>
            </w:pPr>
            <w:r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DA6595" w:rsidRDefault="007B6C4C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-</w:t>
            </w:r>
            <w:bookmarkStart w:id="0" w:name="_GoBack"/>
            <w:bookmarkEnd w:id="0"/>
          </w:p>
        </w:tc>
      </w:tr>
      <w:tr w:rsidR="00DA6595" w:rsidTr="00B47602">
        <w:trPr>
          <w:trHeight w:val="6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DA6595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водоотведения  в течение квартала, в том числе: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куб.м</w:t>
            </w:r>
            <w:proofErr w:type="spell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Pr="00365D85" w:rsidRDefault="007B6C4C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7,31</w:t>
            </w:r>
          </w:p>
        </w:tc>
      </w:tr>
      <w:tr w:rsidR="00DA6595" w:rsidTr="00B47602">
        <w:trPr>
          <w:trHeight w:val="4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водоотведения города Радужный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куб.м</w:t>
            </w:r>
            <w:proofErr w:type="spell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Default="007B6C4C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7,31</w:t>
            </w:r>
          </w:p>
        </w:tc>
      </w:tr>
    </w:tbl>
    <w:p w:rsidR="00CA05E0" w:rsidRDefault="00CA05E0" w:rsidP="00CA05E0"/>
    <w:p w:rsidR="00AB177C" w:rsidRDefault="00AB177C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sectPr w:rsidR="00DA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8"/>
    <w:rsid w:val="001F15A4"/>
    <w:rsid w:val="00217761"/>
    <w:rsid w:val="0047114E"/>
    <w:rsid w:val="00702006"/>
    <w:rsid w:val="007B6C4C"/>
    <w:rsid w:val="007E3C6E"/>
    <w:rsid w:val="008A637D"/>
    <w:rsid w:val="00AB177C"/>
    <w:rsid w:val="00B47602"/>
    <w:rsid w:val="00B56968"/>
    <w:rsid w:val="00CA05E0"/>
    <w:rsid w:val="00DA6595"/>
    <w:rsid w:val="00E77E5A"/>
    <w:rsid w:val="00FB6DBE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E75F"/>
  <w15:docId w15:val="{6583E0BB-E347-40C9-BB3F-D755707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Арслангереев Шамиль Салимгереевич</dc:creator>
  <cp:keywords/>
  <dc:description/>
  <cp:lastModifiedBy>Бульгак Владимир Николаевич</cp:lastModifiedBy>
  <cp:revision>17</cp:revision>
  <dcterms:created xsi:type="dcterms:W3CDTF">2018-04-05T03:06:00Z</dcterms:created>
  <dcterms:modified xsi:type="dcterms:W3CDTF">2022-04-18T03:59:00Z</dcterms:modified>
</cp:coreProperties>
</file>