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6A" w:rsidRPr="00BF7A03" w:rsidRDefault="00C0166A" w:rsidP="00C0166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BF7A03">
        <w:rPr>
          <w:rFonts w:ascii="Times New Roman" w:hAnsi="Times New Roman" w:cs="Times New Roman"/>
          <w:szCs w:val="22"/>
        </w:rPr>
        <w:t>Форма 3.12. Информация о предложении регулируемой</w:t>
      </w:r>
    </w:p>
    <w:p w:rsidR="00C0166A" w:rsidRPr="00BF7A03" w:rsidRDefault="00C0166A" w:rsidP="00C0166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7A03">
        <w:rPr>
          <w:rFonts w:ascii="Times New Roman" w:hAnsi="Times New Roman" w:cs="Times New Roman"/>
          <w:szCs w:val="22"/>
        </w:rPr>
        <w:t>организации об установлении тарифов в сфере водоотведения</w:t>
      </w:r>
    </w:p>
    <w:p w:rsidR="00C0166A" w:rsidRPr="00BF7A03" w:rsidRDefault="00C0166A" w:rsidP="00C0166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7A03">
        <w:rPr>
          <w:rFonts w:ascii="Times New Roman" w:hAnsi="Times New Roman" w:cs="Times New Roman"/>
          <w:szCs w:val="22"/>
        </w:rPr>
        <w:t>на очередной период регулирования</w:t>
      </w:r>
    </w:p>
    <w:p w:rsidR="00C0166A" w:rsidRPr="00BF7A03" w:rsidRDefault="00C0166A" w:rsidP="00C016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276"/>
        <w:gridCol w:w="992"/>
        <w:gridCol w:w="1134"/>
        <w:gridCol w:w="993"/>
        <w:gridCol w:w="1417"/>
        <w:gridCol w:w="992"/>
        <w:gridCol w:w="1276"/>
        <w:gridCol w:w="992"/>
        <w:gridCol w:w="1134"/>
        <w:gridCol w:w="1278"/>
      </w:tblGrid>
      <w:tr w:rsidR="002F7F1E" w:rsidRPr="00BF7A03" w:rsidTr="00C51FEA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Предлагаемый метод регулирования</w:t>
            </w:r>
          </w:p>
        </w:tc>
        <w:tc>
          <w:tcPr>
            <w:tcW w:w="2268" w:type="dxa"/>
            <w:gridSpan w:val="2"/>
          </w:tcPr>
          <w:p w:rsidR="002F7F1E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127" w:type="dxa"/>
            <w:gridSpan w:val="2"/>
          </w:tcPr>
          <w:p w:rsidR="002F7F1E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2409" w:type="dxa"/>
            <w:gridSpan w:val="2"/>
          </w:tcPr>
          <w:p w:rsidR="002F7F1E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2268" w:type="dxa"/>
            <w:gridSpan w:val="2"/>
          </w:tcPr>
          <w:p w:rsidR="002F7F1E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412" w:type="dxa"/>
            <w:gridSpan w:val="2"/>
          </w:tcPr>
          <w:p w:rsidR="002F7F1E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Расчетная величина тарифов</w:t>
            </w:r>
          </w:p>
        </w:tc>
        <w:tc>
          <w:tcPr>
            <w:tcW w:w="1276" w:type="dxa"/>
          </w:tcPr>
          <w:p w:rsidR="002F7F1E" w:rsidRPr="00BF7A03" w:rsidRDefault="002F7F1E" w:rsidP="002F7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34,69</w:t>
            </w:r>
          </w:p>
        </w:tc>
        <w:tc>
          <w:tcPr>
            <w:tcW w:w="992" w:type="dxa"/>
          </w:tcPr>
          <w:p w:rsidR="002F7F1E" w:rsidRDefault="002F7F1E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87,35</w:t>
            </w:r>
          </w:p>
        </w:tc>
        <w:tc>
          <w:tcPr>
            <w:tcW w:w="1134" w:type="dxa"/>
          </w:tcPr>
          <w:p w:rsidR="002F7F1E" w:rsidRPr="00BF7A03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87,35</w:t>
            </w:r>
          </w:p>
        </w:tc>
        <w:tc>
          <w:tcPr>
            <w:tcW w:w="993" w:type="dxa"/>
          </w:tcPr>
          <w:p w:rsidR="002F7F1E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38,83</w:t>
            </w:r>
          </w:p>
        </w:tc>
        <w:tc>
          <w:tcPr>
            <w:tcW w:w="1417" w:type="dxa"/>
          </w:tcPr>
          <w:p w:rsidR="002F7F1E" w:rsidRPr="00BF7A03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38,83</w:t>
            </w:r>
          </w:p>
        </w:tc>
        <w:tc>
          <w:tcPr>
            <w:tcW w:w="992" w:type="dxa"/>
          </w:tcPr>
          <w:p w:rsidR="002F7F1E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91,71</w:t>
            </w:r>
          </w:p>
        </w:tc>
        <w:tc>
          <w:tcPr>
            <w:tcW w:w="1276" w:type="dxa"/>
          </w:tcPr>
          <w:p w:rsidR="002F7F1E" w:rsidRPr="00BF7A03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91,71</w:t>
            </w:r>
          </w:p>
        </w:tc>
        <w:tc>
          <w:tcPr>
            <w:tcW w:w="992" w:type="dxa"/>
          </w:tcPr>
          <w:p w:rsidR="002F7F1E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43,53</w:t>
            </w:r>
          </w:p>
        </w:tc>
        <w:tc>
          <w:tcPr>
            <w:tcW w:w="1134" w:type="dxa"/>
          </w:tcPr>
          <w:p w:rsidR="002F7F1E" w:rsidRPr="00BF7A03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43,53</w:t>
            </w:r>
          </w:p>
        </w:tc>
        <w:tc>
          <w:tcPr>
            <w:tcW w:w="1278" w:type="dxa"/>
          </w:tcPr>
          <w:p w:rsidR="002F7F1E" w:rsidRDefault="000B0239" w:rsidP="002F74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96,47</w:t>
            </w: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Период действия тарифов</w:t>
            </w:r>
          </w:p>
        </w:tc>
        <w:tc>
          <w:tcPr>
            <w:tcW w:w="1276" w:type="dxa"/>
          </w:tcPr>
          <w:p w:rsidR="002F7F1E" w:rsidRPr="00BF7A03" w:rsidRDefault="002F7F1E" w:rsidP="002F7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6193">
              <w:rPr>
                <w:rFonts w:ascii="Times New Roman" w:hAnsi="Times New Roman" w:cs="Times New Roman"/>
                <w:szCs w:val="22"/>
              </w:rPr>
              <w:t>с 01 января по 3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0C619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июня</w:t>
            </w:r>
          </w:p>
        </w:tc>
        <w:tc>
          <w:tcPr>
            <w:tcW w:w="992" w:type="dxa"/>
          </w:tcPr>
          <w:p w:rsidR="002F7F1E" w:rsidRPr="000B5DE6" w:rsidRDefault="002F7F1E" w:rsidP="002F7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июля по 31 декабря</w:t>
            </w:r>
          </w:p>
        </w:tc>
        <w:tc>
          <w:tcPr>
            <w:tcW w:w="1134" w:type="dxa"/>
          </w:tcPr>
          <w:p w:rsidR="002F7F1E" w:rsidRPr="00BF7A03" w:rsidRDefault="002F7F1E" w:rsidP="002F7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5DE6">
              <w:rPr>
                <w:rFonts w:ascii="Times New Roman" w:hAnsi="Times New Roman" w:cs="Times New Roman"/>
                <w:szCs w:val="22"/>
              </w:rPr>
              <w:t>с 01 января по 3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0B5DE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июня</w:t>
            </w:r>
          </w:p>
        </w:tc>
        <w:tc>
          <w:tcPr>
            <w:tcW w:w="993" w:type="dxa"/>
          </w:tcPr>
          <w:p w:rsidR="002F7F1E" w:rsidRPr="000B5DE6" w:rsidRDefault="000B0239" w:rsidP="000B02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 01 июля по 31 декабря</w:t>
            </w:r>
          </w:p>
        </w:tc>
        <w:tc>
          <w:tcPr>
            <w:tcW w:w="1417" w:type="dxa"/>
          </w:tcPr>
          <w:p w:rsidR="002F7F1E" w:rsidRPr="00BF7A03" w:rsidRDefault="002F7F1E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5DE6">
              <w:rPr>
                <w:rFonts w:ascii="Times New Roman" w:hAnsi="Times New Roman" w:cs="Times New Roman"/>
                <w:szCs w:val="22"/>
              </w:rPr>
              <w:t>с 01 января по 31 декабря</w:t>
            </w:r>
          </w:p>
        </w:tc>
        <w:tc>
          <w:tcPr>
            <w:tcW w:w="992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июля пот 31 декабря</w:t>
            </w:r>
          </w:p>
        </w:tc>
        <w:tc>
          <w:tcPr>
            <w:tcW w:w="1276" w:type="dxa"/>
          </w:tcPr>
          <w:p w:rsidR="002F7F1E" w:rsidRPr="00BF7A03" w:rsidRDefault="000B0239" w:rsidP="000B02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января по 30 июня</w:t>
            </w:r>
          </w:p>
        </w:tc>
        <w:tc>
          <w:tcPr>
            <w:tcW w:w="992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июля по 31 декабря</w:t>
            </w:r>
          </w:p>
        </w:tc>
        <w:tc>
          <w:tcPr>
            <w:tcW w:w="1134" w:type="dxa"/>
          </w:tcPr>
          <w:p w:rsidR="002F7F1E" w:rsidRPr="00BF7A03" w:rsidRDefault="002F7F1E" w:rsidP="000B02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5DE6">
              <w:rPr>
                <w:rFonts w:ascii="Times New Roman" w:hAnsi="Times New Roman" w:cs="Times New Roman"/>
                <w:szCs w:val="22"/>
              </w:rPr>
              <w:t>с 01 января по 3</w:t>
            </w:r>
            <w:r w:rsidR="000B0239">
              <w:rPr>
                <w:rFonts w:ascii="Times New Roman" w:hAnsi="Times New Roman" w:cs="Times New Roman"/>
                <w:szCs w:val="22"/>
              </w:rPr>
              <w:t>0</w:t>
            </w:r>
            <w:r w:rsidRPr="000B5D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B0239">
              <w:rPr>
                <w:rFonts w:ascii="Times New Roman" w:hAnsi="Times New Roman" w:cs="Times New Roman"/>
                <w:szCs w:val="22"/>
              </w:rPr>
              <w:t>июня</w:t>
            </w:r>
          </w:p>
        </w:tc>
        <w:tc>
          <w:tcPr>
            <w:tcW w:w="1278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июля по 31 декабря</w:t>
            </w:r>
          </w:p>
        </w:tc>
      </w:tr>
      <w:tr w:rsidR="002F7F1E" w:rsidRPr="00BF7A03" w:rsidTr="004A5CB3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268" w:type="dxa"/>
            <w:gridSpan w:val="2"/>
          </w:tcPr>
          <w:p w:rsidR="002F7F1E" w:rsidRPr="000B5DE6" w:rsidRDefault="002F7F1E" w:rsidP="000B5D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расходов, индекс эффективности операционных расходов, нормативный уровень прибыли, показатели энергосбережения и энергетической эффективности (удельный расход электрической энергии</w:t>
            </w:r>
          </w:p>
        </w:tc>
        <w:tc>
          <w:tcPr>
            <w:tcW w:w="2127" w:type="dxa"/>
            <w:gridSpan w:val="2"/>
          </w:tcPr>
          <w:p w:rsidR="002F7F1E" w:rsidRPr="000B5DE6" w:rsidRDefault="002F7F1E" w:rsidP="000B5D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расходов, индекс эффективности операционных расходов, нормативный уровень прибыли, показатели энергосбережения и энергетической эффективности (удельный расход электрической энергии</w:t>
            </w:r>
          </w:p>
        </w:tc>
        <w:tc>
          <w:tcPr>
            <w:tcW w:w="2409" w:type="dxa"/>
            <w:gridSpan w:val="2"/>
          </w:tcPr>
          <w:p w:rsidR="002F7F1E" w:rsidRPr="000B5DE6" w:rsidRDefault="002F7F1E" w:rsidP="000B5D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 xml:space="preserve">базовый уровень операционных расходов, индекс эффективности операционных расходов, нормативный уровень прибыли, показатели энергосбережения и энергетической эффективности </w:t>
            </w:r>
          </w:p>
          <w:p w:rsidR="002F7F1E" w:rsidRPr="000B5DE6" w:rsidRDefault="002F7F1E" w:rsidP="000B5D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>( удельный расход электрической энергии</w:t>
            </w:r>
          </w:p>
        </w:tc>
        <w:tc>
          <w:tcPr>
            <w:tcW w:w="2268" w:type="dxa"/>
            <w:gridSpan w:val="2"/>
          </w:tcPr>
          <w:p w:rsidR="002F7F1E" w:rsidRPr="000B5DE6" w:rsidRDefault="002F7F1E" w:rsidP="002F744C">
            <w:pPr>
              <w:pStyle w:val="ConsPlusNormal"/>
              <w:ind w:left="76" w:right="-207" w:hanging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расходов, индекс эффективности операционных расходов, нормативный уровень прибыли, показатели энергосбережения и энергетической эффективности (удельный расход электрической энергии</w:t>
            </w:r>
          </w:p>
        </w:tc>
        <w:tc>
          <w:tcPr>
            <w:tcW w:w="2412" w:type="dxa"/>
            <w:gridSpan w:val="2"/>
          </w:tcPr>
          <w:p w:rsidR="002F7F1E" w:rsidRPr="000B5DE6" w:rsidRDefault="002F7F1E" w:rsidP="002F744C">
            <w:pPr>
              <w:pStyle w:val="ConsPlusNormal"/>
              <w:ind w:left="76" w:right="-207" w:hanging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B5DE6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расходов, индекс эффективности операционных расходов, нормативный уровень прибыли, показатели энергосбережения и энергетической эффективности (удельный расход электрической энергии</w:t>
            </w: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Сведения о необходимой валовой выручке на соответствующий период, в том числе с разбивкой по годам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без НДС</w:t>
            </w:r>
          </w:p>
        </w:tc>
        <w:tc>
          <w:tcPr>
            <w:tcW w:w="1276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59784,062355</w:t>
            </w:r>
          </w:p>
        </w:tc>
        <w:tc>
          <w:tcPr>
            <w:tcW w:w="992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59784,062355</w:t>
            </w:r>
          </w:p>
        </w:tc>
        <w:tc>
          <w:tcPr>
            <w:tcW w:w="1134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61807,52815</w:t>
            </w:r>
          </w:p>
        </w:tc>
        <w:tc>
          <w:tcPr>
            <w:tcW w:w="993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61807,52815</w:t>
            </w:r>
          </w:p>
        </w:tc>
        <w:tc>
          <w:tcPr>
            <w:tcW w:w="1417" w:type="dxa"/>
          </w:tcPr>
          <w:p w:rsidR="002F7F1E" w:rsidRPr="000B5DE6" w:rsidRDefault="000B0239" w:rsidP="000B0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63946,40262</w:t>
            </w:r>
          </w:p>
        </w:tc>
        <w:tc>
          <w:tcPr>
            <w:tcW w:w="992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63946,40262</w:t>
            </w:r>
          </w:p>
        </w:tc>
        <w:tc>
          <w:tcPr>
            <w:tcW w:w="1276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66249,348165</w:t>
            </w:r>
          </w:p>
        </w:tc>
        <w:tc>
          <w:tcPr>
            <w:tcW w:w="992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66249,348165</w:t>
            </w:r>
          </w:p>
        </w:tc>
        <w:tc>
          <w:tcPr>
            <w:tcW w:w="1134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68582,224175</w:t>
            </w:r>
          </w:p>
        </w:tc>
        <w:tc>
          <w:tcPr>
            <w:tcW w:w="1278" w:type="dxa"/>
          </w:tcPr>
          <w:p w:rsidR="002F7F1E" w:rsidRPr="000B5DE6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68582,224175</w:t>
            </w: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>Годовой объем принятой в сеть воды</w:t>
            </w:r>
            <w:r>
              <w:rPr>
                <w:rFonts w:ascii="Times New Roman" w:hAnsi="Times New Roman" w:cs="Times New Roman"/>
                <w:szCs w:val="22"/>
              </w:rPr>
              <w:t>,тыс.м3</w:t>
            </w:r>
          </w:p>
        </w:tc>
        <w:tc>
          <w:tcPr>
            <w:tcW w:w="1276" w:type="dxa"/>
          </w:tcPr>
          <w:p w:rsidR="002F7F1E" w:rsidRPr="00BF7A03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992" w:type="dxa"/>
          </w:tcPr>
          <w:p w:rsidR="002F7F1E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1134" w:type="dxa"/>
          </w:tcPr>
          <w:p w:rsidR="002F7F1E" w:rsidRPr="00BF7A03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993" w:type="dxa"/>
          </w:tcPr>
          <w:p w:rsidR="002F7F1E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1417" w:type="dxa"/>
          </w:tcPr>
          <w:p w:rsidR="002F7F1E" w:rsidRPr="00BF7A03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992" w:type="dxa"/>
          </w:tcPr>
          <w:p w:rsidR="002F7F1E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1276" w:type="dxa"/>
          </w:tcPr>
          <w:p w:rsidR="002F7F1E" w:rsidRPr="00BF7A03" w:rsidRDefault="000B0239" w:rsidP="000B02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992" w:type="dxa"/>
          </w:tcPr>
          <w:p w:rsidR="002F7F1E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1134" w:type="dxa"/>
          </w:tcPr>
          <w:p w:rsidR="002F7F1E" w:rsidRPr="00BF7A03" w:rsidRDefault="000B0239" w:rsidP="000B02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  <w:tc>
          <w:tcPr>
            <w:tcW w:w="1278" w:type="dxa"/>
          </w:tcPr>
          <w:p w:rsidR="002F7F1E" w:rsidRDefault="000B0239" w:rsidP="000B5D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979,73</w:t>
            </w: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 xml:space="preserve">Размер недополученных доходов регулируемой организации (при их наличии), исчисленный в соответствии с </w:t>
            </w:r>
            <w:hyperlink r:id="rId5" w:history="1">
              <w:r w:rsidRPr="00BF7A03">
                <w:rPr>
                  <w:rFonts w:ascii="Times New Roman" w:hAnsi="Times New Roman" w:cs="Times New Roman"/>
                  <w:color w:val="0000FF"/>
                  <w:szCs w:val="22"/>
                </w:rPr>
                <w:t>Основами</w:t>
              </w:r>
            </w:hyperlink>
            <w:r w:rsidRPr="00BF7A03">
              <w:rPr>
                <w:rFonts w:ascii="Times New Roman" w:hAnsi="Times New Roman" w:cs="Times New Roman"/>
                <w:szCs w:val="22"/>
              </w:rPr>
              <w:t xml:space="preserve"> ценообразования</w:t>
            </w:r>
          </w:p>
        </w:tc>
        <w:tc>
          <w:tcPr>
            <w:tcW w:w="1276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7F1E" w:rsidRPr="00BF7A03" w:rsidTr="002F7F1E">
        <w:tc>
          <w:tcPr>
            <w:tcW w:w="3964" w:type="dxa"/>
          </w:tcPr>
          <w:p w:rsidR="002F7F1E" w:rsidRPr="00BF7A03" w:rsidRDefault="002F7F1E" w:rsidP="000B5D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F7A03">
              <w:rPr>
                <w:rFonts w:ascii="Times New Roman" w:hAnsi="Times New Roman" w:cs="Times New Roman"/>
                <w:szCs w:val="22"/>
              </w:rPr>
              <w:t xml:space="preserve">Размер экономически обоснованных </w:t>
            </w:r>
            <w:r w:rsidRPr="00BF7A03">
              <w:rPr>
                <w:rFonts w:ascii="Times New Roman" w:hAnsi="Times New Roman" w:cs="Times New Roman"/>
                <w:szCs w:val="22"/>
              </w:rPr>
              <w:lastRenderedPageBreak/>
              <w:t xml:space="preserve">расходов, не учтенных при регулировании тарифов в предыдущий период регулирования (при их наличии), определенный в соответствии с </w:t>
            </w:r>
            <w:hyperlink r:id="rId6" w:history="1">
              <w:r w:rsidRPr="00BF7A03">
                <w:rPr>
                  <w:rFonts w:ascii="Times New Roman" w:hAnsi="Times New Roman" w:cs="Times New Roman"/>
                  <w:color w:val="0000FF"/>
                  <w:szCs w:val="22"/>
                </w:rPr>
                <w:t>Основами</w:t>
              </w:r>
            </w:hyperlink>
            <w:r w:rsidRPr="00BF7A03">
              <w:rPr>
                <w:rFonts w:ascii="Times New Roman" w:hAnsi="Times New Roman" w:cs="Times New Roman"/>
                <w:szCs w:val="22"/>
              </w:rPr>
              <w:t xml:space="preserve"> ценообразования</w:t>
            </w:r>
          </w:p>
        </w:tc>
        <w:tc>
          <w:tcPr>
            <w:tcW w:w="1276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F7F1E" w:rsidRPr="00BF7A03" w:rsidRDefault="002F7F1E" w:rsidP="000B5D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60317" w:rsidRDefault="00060317"/>
    <w:sectPr w:rsidR="00060317" w:rsidSect="000B5D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55"/>
    <w:rsid w:val="00060317"/>
    <w:rsid w:val="000B0239"/>
    <w:rsid w:val="000B5DE6"/>
    <w:rsid w:val="002F744C"/>
    <w:rsid w:val="002F7F1E"/>
    <w:rsid w:val="00482D55"/>
    <w:rsid w:val="006F7707"/>
    <w:rsid w:val="009706DD"/>
    <w:rsid w:val="00C0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AC7B9B00CC46F849C325CE8DD8CC4C86F9DD05D73BF8B1E7696996E8C0F14903AF234899B4D3o3B2I" TargetMode="External"/><Relationship Id="rId5" Type="http://schemas.openxmlformats.org/officeDocument/2006/relationships/hyperlink" Target="consultantplus://offline/ref=BC14AC7B9B00CC46F849C325CE8DD8CC4C86F9DD05D73BF8B1E7696996E8C0F14903AF234899B4D3o3B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Эльмира Зиннуровна</dc:creator>
  <cp:lastModifiedBy>Арслангереев Шамиль Салимгереевич</cp:lastModifiedBy>
  <cp:revision>2</cp:revision>
  <dcterms:created xsi:type="dcterms:W3CDTF">2019-04-26T08:40:00Z</dcterms:created>
  <dcterms:modified xsi:type="dcterms:W3CDTF">2019-04-26T08:40:00Z</dcterms:modified>
</cp:coreProperties>
</file>